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27400B" w:rsidRDefault="00522D07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27400B">
        <w:rPr>
          <w:rFonts w:ascii="Noor_Badr" w:hAnsi="Noor_Badr" w:cs="Noor_Badr"/>
          <w:sz w:val="32"/>
          <w:szCs w:val="32"/>
          <w:rtl/>
          <w:lang w:bidi="fa-IR"/>
        </w:rPr>
        <w:t>خارج اصول-جلسه سی و پنجم-چهارشنبه 7/ 9/ 97</w:t>
      </w:r>
    </w:p>
    <w:p w:rsidR="00B764CF" w:rsidRPr="0027400B" w:rsidRDefault="00B764CF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522D07" w:rsidRPr="0027400B" w:rsidRDefault="00B764CF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و الرغبة مفتاح التعب</w:t>
      </w:r>
    </w:p>
    <w:p w:rsidR="00B764CF" w:rsidRPr="0027400B" w:rsidRDefault="004D13F3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در ادامه مطلب قبلی که قناعت و اکتفا بر کفاف و عفاف بود، نقطه مقابلش، رغبة است یعنی حرص و طمع و میل شدید به امور مادی.</w:t>
      </w:r>
    </w:p>
    <w:p w:rsidR="004D13F3" w:rsidRPr="0027400B" w:rsidRDefault="004D13F3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رغبت کلید خانه سختیها، دشواریها و گرفتاری های مادی در دنیاست.</w:t>
      </w:r>
    </w:p>
    <w:p w:rsidR="004D13F3" w:rsidRPr="0027400B" w:rsidRDefault="004D13F3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4D13F3" w:rsidRPr="0027400B" w:rsidRDefault="004D13F3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کلام در اجزاء بود.مدلول ادله اجتهادی(</w:t>
      </w:r>
      <w:r w:rsidR="00A135E8" w:rsidRPr="0027400B">
        <w:rPr>
          <w:rFonts w:ascii="Noor_Badr" w:hAnsi="Noor_Badr" w:cs="Noor_Badr"/>
          <w:sz w:val="32"/>
          <w:szCs w:val="32"/>
          <w:rtl/>
          <w:lang w:bidi="fa-IR"/>
        </w:rPr>
        <w:t>آیات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>).رفع اضطرار در وقت عرض شد.</w:t>
      </w:r>
    </w:p>
    <w:p w:rsidR="004D13F3" w:rsidRPr="0027400B" w:rsidRDefault="004D13F3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اما خارج وقت</w:t>
      </w:r>
    </w:p>
    <w:p w:rsidR="004D13F3" w:rsidRPr="0027400B" w:rsidRDefault="004D13F3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بالنسبة با آیه شریفه که </w:t>
      </w:r>
      <w:r w:rsidR="00D828AD" w:rsidRPr="0027400B">
        <w:rPr>
          <w:rFonts w:ascii="Noor_Badr" w:hAnsi="Noor_Badr" w:cs="Noor_Badr"/>
          <w:sz w:val="32"/>
          <w:szCs w:val="32"/>
          <w:rtl/>
          <w:lang w:bidi="fa-IR"/>
        </w:rPr>
        <w:t>فرمود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: انجام نماز در وقتی که تمامش را اضطرار فرا گرفته </w:t>
      </w:r>
      <w:r w:rsidR="0054242C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است 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="0054242C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شرط این نماز، طهارة ترابیة است، باید</w:t>
      </w:r>
      <w:r w:rsidR="00D828AD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54242C" w:rsidRPr="0027400B">
        <w:rPr>
          <w:rFonts w:ascii="Noor_Badr" w:hAnsi="Noor_Badr" w:cs="Noor_Badr"/>
          <w:sz w:val="32"/>
          <w:szCs w:val="32"/>
          <w:rtl/>
          <w:lang w:bidi="fa-IR"/>
        </w:rPr>
        <w:t>گفت طهارة ترابیة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54242C" w:rsidRPr="0027400B">
        <w:rPr>
          <w:rFonts w:ascii="Noor_Badr" w:hAnsi="Noor_Badr" w:cs="Noor_Badr"/>
          <w:sz w:val="32"/>
          <w:szCs w:val="32"/>
          <w:rtl/>
          <w:lang w:bidi="fa-IR"/>
        </w:rPr>
        <w:t>نازل منزله طهارت مائیة است و بعداز وقت</w:t>
      </w:r>
      <w:r w:rsidR="00D828AD" w:rsidRPr="0027400B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54242C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موضوعی برای وجوب نماز باقی نمانده تا بحث شود که قضا توسط امر اول واجب است یا امر جدید</w:t>
      </w:r>
      <w:r w:rsidR="00D828AD" w:rsidRPr="0027400B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54242C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زیرا هریک ازاین دوامر نیاز به موضوع دارد که </w:t>
      </w:r>
      <w:r w:rsidR="00D828AD" w:rsidRPr="0027400B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54242C" w:rsidRPr="0027400B">
        <w:rPr>
          <w:rFonts w:ascii="Noor_Badr" w:hAnsi="Noor_Badr" w:cs="Noor_Badr"/>
          <w:sz w:val="32"/>
          <w:szCs w:val="32"/>
          <w:rtl/>
          <w:lang w:bidi="fa-IR"/>
        </w:rPr>
        <w:t>فوت واجب در وقت</w:t>
      </w:r>
      <w:r w:rsidR="00D828AD" w:rsidRPr="0027400B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54242C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می باشد؛ با فرض اینکه مکلف نماز با تیمم را با عدم تمکن از وضو انجام داده، فوت صادق نیست لذا قضا واجب نیست.</w:t>
      </w:r>
    </w:p>
    <w:p w:rsidR="0054242C" w:rsidRPr="0027400B" w:rsidRDefault="00755A73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بنایراین بر اساس آیة 6</w:t>
      </w:r>
      <w:r w:rsidR="001F7587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سوره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مائدة و 46 </w:t>
      </w:r>
      <w:r w:rsidR="001F7587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سوره 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>نساء، رفع ا</w:t>
      </w:r>
      <w:r w:rsidR="00CC508D" w:rsidRPr="0027400B">
        <w:rPr>
          <w:rFonts w:ascii="Noor_Badr" w:hAnsi="Noor_Badr" w:cs="Noor_Badr"/>
          <w:sz w:val="32"/>
          <w:szCs w:val="32"/>
          <w:rtl/>
          <w:lang w:bidi="fa-IR"/>
        </w:rPr>
        <w:t>ضطرار در خارج وقت، ملازم با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حکم به اجزا می باشد.</w:t>
      </w:r>
    </w:p>
    <w:p w:rsidR="004D13F3" w:rsidRPr="0027400B" w:rsidRDefault="00CC508D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lastRenderedPageBreak/>
        <w:t>باتوجه به این</w:t>
      </w:r>
      <w:r w:rsidR="005348C8" w:rsidRPr="0027400B">
        <w:rPr>
          <w:rFonts w:ascii="Noor_Badr" w:hAnsi="Noor_Badr" w:cs="Noor_Badr"/>
          <w:sz w:val="32"/>
          <w:szCs w:val="32"/>
          <w:rtl/>
          <w:lang w:bidi="fa-IR"/>
        </w:rPr>
        <w:t>که قرآن به تنهایی وضع مکلف را د</w:t>
      </w:r>
      <w:r w:rsidR="00DC20DF" w:rsidRPr="0027400B">
        <w:rPr>
          <w:rFonts w:ascii="Noor_Badr" w:hAnsi="Noor_Badr" w:cs="Noor_Badr"/>
          <w:sz w:val="32"/>
          <w:szCs w:val="32"/>
          <w:rtl/>
          <w:lang w:bidi="fa-IR"/>
        </w:rPr>
        <w:t>ر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حال اختیار و اضطرار نسبت به واجب موقّت، بطور کامل توضیح داده زیرا این دو آیه نماز با وضو را در زمان واجب (که موضوعش تمکن از طهارت مائیة می باشد)واجب کرده و از طرفی نماز با تیمم را </w:t>
      </w:r>
      <w:r w:rsidR="00AF29F0" w:rsidRPr="0027400B">
        <w:rPr>
          <w:rFonts w:ascii="Noor_Badr" w:hAnsi="Noor_Badr" w:cs="Noor_Badr"/>
          <w:sz w:val="32"/>
          <w:szCs w:val="32"/>
          <w:rtl/>
          <w:lang w:bidi="fa-IR"/>
        </w:rPr>
        <w:t>در صورت اضطرار، واجب کرده، و حکم دو حالتِ رفع اضطرار در وقت و استیعابِ اضطرار در تمام وقت را</w:t>
      </w:r>
      <w:r w:rsidR="005348C8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بیان نموده،</w:t>
      </w:r>
      <w:r w:rsidR="00AF29F0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بین صدر آیه(بیان حکم واقعی اولی) و ذیل آیه</w:t>
      </w:r>
      <w:r w:rsidR="005348C8" w:rsidRPr="0027400B">
        <w:rPr>
          <w:rFonts w:ascii="Noor_Badr" w:hAnsi="Noor_Badr" w:cs="Noor_Badr"/>
          <w:sz w:val="32"/>
          <w:szCs w:val="32"/>
          <w:rtl/>
          <w:lang w:bidi="fa-IR"/>
        </w:rPr>
        <w:t>(بیان حکم اضطراری) تعارضی نیست؛ بلکه بین صدر و ذیل آیه جمع می کنیم به اینکه با وجود اطلاق صدر، اطلاقی برای ذیل باق</w:t>
      </w:r>
      <w:r w:rsidR="00D860DC" w:rsidRPr="0027400B">
        <w:rPr>
          <w:rFonts w:ascii="Noor_Badr" w:hAnsi="Noor_Badr" w:cs="Noor_Badr"/>
          <w:sz w:val="32"/>
          <w:szCs w:val="32"/>
          <w:rtl/>
          <w:lang w:bidi="fa-IR"/>
        </w:rPr>
        <w:t>ی نمی ماند زیرا موضوعش عدم وجدان آب در تمام وقت واجب است.</w:t>
      </w:r>
    </w:p>
    <w:p w:rsidR="00A135E8" w:rsidRPr="0027400B" w:rsidRDefault="00A135E8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اما روایات</w:t>
      </w:r>
    </w:p>
    <w:p w:rsidR="00A135E8" w:rsidRPr="0027400B" w:rsidRDefault="00A135E8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روایات این باب در وسائل الشیعه در 30 باب در جلد2 این کتاب</w:t>
      </w:r>
      <w:r w:rsidR="00DC20DF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ذکر شد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>ه اند که مهم آنها باب 21 و 22 می باشد.</w:t>
      </w:r>
    </w:p>
    <w:p w:rsidR="00A135E8" w:rsidRPr="0027400B" w:rsidRDefault="00A135E8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تمام این روایات بر این آیه حمل می شوند هم</w:t>
      </w:r>
      <w:r w:rsidR="00463141" w:rsidRPr="0027400B">
        <w:rPr>
          <w:rFonts w:ascii="Noor_Badr" w:hAnsi="Noor_Badr" w:cs="Noor_Badr"/>
          <w:sz w:val="32"/>
          <w:szCs w:val="32"/>
          <w:rtl/>
          <w:lang w:bidi="fa-IR"/>
        </w:rPr>
        <w:t>ا</w:t>
      </w:r>
      <w:r w:rsidRPr="0027400B">
        <w:rPr>
          <w:rFonts w:ascii="Noor_Badr" w:hAnsi="Noor_Badr" w:cs="Noor_Badr"/>
          <w:sz w:val="32"/>
          <w:szCs w:val="32"/>
          <w:rtl/>
          <w:lang w:bidi="fa-IR"/>
        </w:rPr>
        <w:t>نطور که معصومین فرموده اند: روایات را بر قرآن عرضه کنید.</w:t>
      </w:r>
    </w:p>
    <w:p w:rsidR="00A135E8" w:rsidRPr="0027400B" w:rsidRDefault="00A135E8" w:rsidP="002740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بنابراین فرمایش محقق عراقی(</w:t>
      </w:r>
      <w:r w:rsidR="00BF2337" w:rsidRPr="0027400B">
        <w:rPr>
          <w:rFonts w:ascii="Noor_Badr" w:hAnsi="Noor_Badr" w:cs="Noor_Badr"/>
          <w:sz w:val="32"/>
          <w:szCs w:val="32"/>
          <w:rtl/>
          <w:lang w:bidi="fa-IR"/>
        </w:rPr>
        <w:t>تصور تعارض بین ظهور روایات تیمم«احدالطهورین-یکفیک عشر سنین» و</w:t>
      </w:r>
      <w:r w:rsidR="00463141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بین</w:t>
      </w:r>
      <w:r w:rsidR="00BF2337" w:rsidRPr="0027400B">
        <w:rPr>
          <w:rFonts w:ascii="Noor_Badr" w:hAnsi="Noor_Badr" w:cs="Noor_Badr"/>
          <w:sz w:val="32"/>
          <w:szCs w:val="32"/>
          <w:rtl/>
          <w:lang w:bidi="fa-IR"/>
        </w:rPr>
        <w:t xml:space="preserve"> ظهور آیة وضو و تیمم) به اینکه روایات دلالت دارند بر اینکه شرط طهارت، جامعی بین ترابیة و مائیة است، فایده ای ندارد.</w:t>
      </w:r>
    </w:p>
    <w:p w:rsidR="00601767" w:rsidRPr="0027400B" w:rsidRDefault="00601767" w:rsidP="0027400B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27400B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601767" w:rsidRPr="0027400B" w:rsidSect="0027400B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D07"/>
    <w:rsid w:val="001F7587"/>
    <w:rsid w:val="0027400B"/>
    <w:rsid w:val="00463141"/>
    <w:rsid w:val="004D13F3"/>
    <w:rsid w:val="00522D07"/>
    <w:rsid w:val="005348C8"/>
    <w:rsid w:val="0054242C"/>
    <w:rsid w:val="005C7205"/>
    <w:rsid w:val="00601767"/>
    <w:rsid w:val="00755A73"/>
    <w:rsid w:val="00785C24"/>
    <w:rsid w:val="00A135E8"/>
    <w:rsid w:val="00AF29F0"/>
    <w:rsid w:val="00B764CF"/>
    <w:rsid w:val="00BF2337"/>
    <w:rsid w:val="00CC508D"/>
    <w:rsid w:val="00D828AD"/>
    <w:rsid w:val="00D860DC"/>
    <w:rsid w:val="00DC20DF"/>
    <w:rsid w:val="00E7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12</cp:revision>
  <dcterms:created xsi:type="dcterms:W3CDTF">2018-12-27T02:18:00Z</dcterms:created>
  <dcterms:modified xsi:type="dcterms:W3CDTF">2020-08-23T04:06:00Z</dcterms:modified>
</cp:coreProperties>
</file>